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设备功能和配置需求表</w:t>
      </w:r>
    </w:p>
    <w:tbl>
      <w:tblPr>
        <w:tblStyle w:val="6"/>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2893"/>
        <w:gridCol w:w="1336"/>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tcPr>
          <w:p>
            <w:pPr>
              <w:jc w:val="center"/>
              <w:rPr>
                <w:sz w:val="28"/>
                <w:szCs w:val="28"/>
              </w:rPr>
            </w:pPr>
            <w:r>
              <w:rPr>
                <w:rFonts w:hint="eastAsia"/>
                <w:sz w:val="28"/>
                <w:szCs w:val="28"/>
              </w:rPr>
              <w:t>设备名称</w:t>
            </w:r>
          </w:p>
        </w:tc>
        <w:tc>
          <w:tcPr>
            <w:tcW w:w="2893" w:type="dxa"/>
            <w:vAlign w:val="center"/>
          </w:tcPr>
          <w:p>
            <w:pPr>
              <w:jc w:val="center"/>
              <w:rPr>
                <w:sz w:val="24"/>
              </w:rPr>
            </w:pPr>
            <w:r>
              <w:rPr>
                <w:rFonts w:hint="eastAsia"/>
                <w:sz w:val="24"/>
              </w:rPr>
              <w:t>粪便分析系统</w:t>
            </w:r>
          </w:p>
        </w:tc>
        <w:tc>
          <w:tcPr>
            <w:tcW w:w="1336" w:type="dxa"/>
          </w:tcPr>
          <w:p>
            <w:pPr>
              <w:jc w:val="center"/>
              <w:rPr>
                <w:sz w:val="28"/>
                <w:szCs w:val="28"/>
              </w:rPr>
            </w:pPr>
            <w:r>
              <w:rPr>
                <w:rFonts w:hint="eastAsia"/>
                <w:sz w:val="28"/>
                <w:szCs w:val="28"/>
              </w:rPr>
              <w:t>申购科室</w:t>
            </w:r>
          </w:p>
        </w:tc>
        <w:tc>
          <w:tcPr>
            <w:tcW w:w="3049" w:type="dxa"/>
          </w:tcPr>
          <w:p>
            <w:pPr>
              <w:spacing w:line="480" w:lineRule="auto"/>
              <w:jc w:val="center"/>
              <w:rPr>
                <w:sz w:val="24"/>
              </w:rPr>
            </w:pPr>
            <w:r>
              <w:rPr>
                <w:rFonts w:hint="eastAsia"/>
                <w:sz w:val="24"/>
              </w:rPr>
              <w:t>实验医学科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Merge w:val="restart"/>
          </w:tcPr>
          <w:p>
            <w:pPr>
              <w:jc w:val="center"/>
              <w:rPr>
                <w:sz w:val="28"/>
                <w:szCs w:val="28"/>
              </w:rPr>
            </w:pPr>
            <w:r>
              <w:rPr>
                <w:rFonts w:hint="eastAsia"/>
                <w:sz w:val="28"/>
                <w:szCs w:val="28"/>
              </w:rPr>
              <w:t>生产</w:t>
            </w:r>
            <w:r>
              <w:rPr>
                <w:sz w:val="28"/>
                <w:szCs w:val="28"/>
              </w:rPr>
              <w:t>厂家或</w:t>
            </w:r>
            <w:r>
              <w:rPr>
                <w:rFonts w:hint="eastAsia"/>
                <w:sz w:val="28"/>
                <w:szCs w:val="28"/>
              </w:rPr>
              <w:t>供应商</w:t>
            </w:r>
            <w:r>
              <w:rPr>
                <w:sz w:val="28"/>
                <w:szCs w:val="28"/>
              </w:rPr>
              <w:br w:type="textWrapping"/>
            </w:r>
            <w:r>
              <w:rPr>
                <w:rFonts w:hint="eastAsia"/>
                <w:sz w:val="24"/>
                <w:szCs w:val="28"/>
              </w:rPr>
              <w:t>（三家</w:t>
            </w:r>
            <w:r>
              <w:rPr>
                <w:sz w:val="24"/>
                <w:szCs w:val="28"/>
              </w:rPr>
              <w:t>或三家以上</w:t>
            </w:r>
            <w:r>
              <w:rPr>
                <w:rFonts w:hint="eastAsia"/>
                <w:sz w:val="24"/>
                <w:szCs w:val="28"/>
              </w:rPr>
              <w:t>）</w:t>
            </w:r>
          </w:p>
        </w:tc>
        <w:tc>
          <w:tcPr>
            <w:tcW w:w="2893" w:type="dxa"/>
            <w:vAlign w:val="center"/>
          </w:tcPr>
          <w:p>
            <w:pPr>
              <w:jc w:val="center"/>
              <w:rPr>
                <w:sz w:val="24"/>
              </w:rPr>
            </w:pPr>
          </w:p>
        </w:tc>
        <w:tc>
          <w:tcPr>
            <w:tcW w:w="4385" w:type="dxa"/>
            <w:gridSpan w:val="2"/>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60" w:type="dxa"/>
            <w:vMerge w:val="continue"/>
          </w:tcPr>
          <w:p>
            <w:pPr>
              <w:jc w:val="center"/>
              <w:rPr>
                <w:sz w:val="28"/>
                <w:szCs w:val="28"/>
              </w:rPr>
            </w:pPr>
          </w:p>
        </w:tc>
        <w:tc>
          <w:tcPr>
            <w:tcW w:w="2893" w:type="dxa"/>
            <w:vAlign w:val="center"/>
          </w:tcPr>
          <w:p>
            <w:pPr>
              <w:jc w:val="center"/>
              <w:rPr>
                <w:sz w:val="24"/>
              </w:rPr>
            </w:pPr>
          </w:p>
        </w:tc>
        <w:tc>
          <w:tcPr>
            <w:tcW w:w="4385" w:type="dxa"/>
            <w:gridSpan w:val="2"/>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2460" w:type="dxa"/>
            <w:vAlign w:val="center"/>
          </w:tcPr>
          <w:p>
            <w:pPr>
              <w:jc w:val="center"/>
              <w:rPr>
                <w:sz w:val="28"/>
                <w:szCs w:val="28"/>
              </w:rPr>
            </w:pPr>
            <w:r>
              <w:rPr>
                <w:rFonts w:hint="eastAsia"/>
                <w:sz w:val="28"/>
                <w:szCs w:val="28"/>
              </w:rPr>
              <w:t>设备需要满足功能要求</w:t>
            </w:r>
          </w:p>
          <w:p>
            <w:pPr>
              <w:jc w:val="center"/>
              <w:rPr>
                <w:sz w:val="28"/>
                <w:szCs w:val="28"/>
              </w:rPr>
            </w:pPr>
            <w:r>
              <w:rPr>
                <w:rFonts w:hint="eastAsia"/>
                <w:sz w:val="28"/>
                <w:szCs w:val="28"/>
              </w:rPr>
              <w:t>(条目式)</w:t>
            </w:r>
          </w:p>
        </w:tc>
        <w:tc>
          <w:tcPr>
            <w:tcW w:w="7278" w:type="dxa"/>
            <w:gridSpan w:val="3"/>
          </w:tcPr>
          <w:p>
            <w:pPr>
              <w:spacing w:line="360" w:lineRule="auto"/>
              <w:rPr>
                <w:sz w:val="24"/>
              </w:rPr>
            </w:pPr>
            <w:r>
              <w:rPr>
                <w:rFonts w:hint="eastAsia"/>
                <w:sz w:val="24"/>
              </w:rPr>
              <w:t>1、仪器功能：</w:t>
            </w:r>
            <w:r>
              <w:rPr>
                <w:rFonts w:hint="eastAsia"/>
                <w:sz w:val="24"/>
              </w:rPr>
              <w:tab/>
            </w:r>
            <w:r>
              <w:rPr>
                <w:rFonts w:hint="eastAsia"/>
                <w:sz w:val="24"/>
              </w:rPr>
              <w:t>标本处理、形态学检测、免疫学检测、废气排放。</w:t>
            </w:r>
          </w:p>
          <w:p>
            <w:pPr>
              <w:spacing w:line="360" w:lineRule="auto"/>
              <w:rPr>
                <w:sz w:val="24"/>
              </w:rPr>
            </w:pPr>
            <w:r>
              <w:rPr>
                <w:rFonts w:hint="eastAsia"/>
                <w:sz w:val="24"/>
              </w:rPr>
              <w:t>2、标本放置位置：</w:t>
            </w:r>
            <w:r>
              <w:rPr>
                <w:rFonts w:hint="eastAsia" w:ascii="仿宋_GB2312" w:hAnsi="宋体" w:eastAsia="仿宋_GB2312"/>
                <w:color w:val="000000"/>
                <w:szCs w:val="21"/>
              </w:rPr>
              <w:t>≥</w:t>
            </w:r>
            <w:r>
              <w:rPr>
                <w:rFonts w:hint="eastAsia"/>
                <w:sz w:val="24"/>
              </w:rPr>
              <w:t>20个。</w:t>
            </w:r>
          </w:p>
          <w:p>
            <w:pPr>
              <w:spacing w:line="360" w:lineRule="auto"/>
              <w:rPr>
                <w:sz w:val="24"/>
              </w:rPr>
            </w:pPr>
            <w:r>
              <w:rPr>
                <w:rFonts w:hint="eastAsia"/>
                <w:sz w:val="24"/>
              </w:rPr>
              <w:t>3、标本处理模式</w:t>
            </w:r>
            <w:r>
              <w:rPr>
                <w:rFonts w:hint="eastAsia"/>
                <w:sz w:val="24"/>
              </w:rPr>
              <w:tab/>
            </w:r>
            <w:r>
              <w:rPr>
                <w:rFonts w:hint="eastAsia"/>
                <w:sz w:val="24"/>
              </w:rPr>
              <w:t>：每个标本单独选择处理模式，适应各种粪便标本，包括粘液便、特硬便等。</w:t>
            </w:r>
          </w:p>
          <w:p>
            <w:pPr>
              <w:spacing w:line="360" w:lineRule="auto"/>
              <w:rPr>
                <w:sz w:val="24"/>
              </w:rPr>
            </w:pPr>
            <w:r>
              <w:rPr>
                <w:rFonts w:hint="eastAsia"/>
                <w:sz w:val="24"/>
              </w:rPr>
              <w:t>4、混匀方式：</w:t>
            </w:r>
            <w:r>
              <w:rPr>
                <w:rFonts w:hint="eastAsia"/>
                <w:sz w:val="24"/>
              </w:rPr>
              <w:tab/>
            </w:r>
            <w:r>
              <w:rPr>
                <w:rFonts w:hint="eastAsia"/>
                <w:sz w:val="24"/>
              </w:rPr>
              <w:t>撕裂式混匀，标本高速正反向旋转混匀，碰撞十字叉产生撕裂式混匀或高频往复式气动混匀。</w:t>
            </w:r>
          </w:p>
          <w:p>
            <w:pPr>
              <w:spacing w:line="360" w:lineRule="auto"/>
              <w:rPr>
                <w:sz w:val="24"/>
              </w:rPr>
            </w:pPr>
            <w:r>
              <w:rPr>
                <w:rFonts w:hint="eastAsia"/>
                <w:sz w:val="24"/>
              </w:rPr>
              <w:t>5、进样方式：急诊和常规标本随到随检，具备无限制样本处理能力。</w:t>
            </w:r>
          </w:p>
          <w:p>
            <w:pPr>
              <w:spacing w:line="360" w:lineRule="auto"/>
              <w:rPr>
                <w:sz w:val="24"/>
              </w:rPr>
            </w:pPr>
            <w:r>
              <w:rPr>
                <w:rFonts w:hint="eastAsia"/>
                <w:sz w:val="24"/>
              </w:rPr>
              <w:t>6、检测速度：</w:t>
            </w:r>
            <w:r>
              <w:rPr>
                <w:rFonts w:hint="eastAsia" w:ascii="仿宋_GB2312" w:hAnsi="宋体" w:eastAsia="仿宋_GB2312"/>
                <w:color w:val="000000"/>
                <w:szCs w:val="21"/>
              </w:rPr>
              <w:t>≥</w:t>
            </w:r>
            <w:r>
              <w:rPr>
                <w:rFonts w:hint="eastAsia" w:ascii="Arial" w:hAnsi="Arial" w:cs="Arial"/>
                <w:kern w:val="0"/>
                <w:sz w:val="20"/>
                <w:szCs w:val="20"/>
                <w:lang w:val="pt-BR"/>
              </w:rPr>
              <w:t>50</w:t>
            </w:r>
            <w:r>
              <w:rPr>
                <w:rFonts w:hint="eastAsia"/>
                <w:sz w:val="24"/>
              </w:rPr>
              <w:t>个标本/小时。</w:t>
            </w:r>
          </w:p>
          <w:p>
            <w:pPr>
              <w:spacing w:line="360" w:lineRule="auto"/>
              <w:rPr>
                <w:sz w:val="24"/>
              </w:rPr>
            </w:pPr>
            <w:r>
              <w:rPr>
                <w:rFonts w:hint="eastAsia"/>
                <w:sz w:val="24"/>
              </w:rPr>
              <w:t>7、应用液留置：当系统判断检测不成功时，应用液自动留置供人工复检。可预先选择留置。</w:t>
            </w:r>
          </w:p>
          <w:p>
            <w:pPr>
              <w:spacing w:line="360" w:lineRule="auto"/>
              <w:rPr>
                <w:sz w:val="24"/>
              </w:rPr>
            </w:pPr>
            <w:r>
              <w:rPr>
                <w:rFonts w:hint="eastAsia"/>
                <w:sz w:val="24"/>
              </w:rPr>
              <w:t>8、形态学检测原理：采用光学流动计数池，配置全自动镜检系统。</w:t>
            </w:r>
          </w:p>
          <w:p>
            <w:pPr>
              <w:spacing w:line="360" w:lineRule="auto"/>
              <w:rPr>
                <w:sz w:val="24"/>
              </w:rPr>
            </w:pPr>
            <w:r>
              <w:rPr>
                <w:rFonts w:hint="eastAsia"/>
                <w:sz w:val="24"/>
              </w:rPr>
              <w:t>9、CMOS LED显微镜带焦距记忆功能并自动调焦，自动进行低倍镜（x10）和高倍镜（x40）切换，低倍镜（x10）可检测</w:t>
            </w:r>
            <w:r>
              <w:rPr>
                <w:sz w:val="24"/>
              </w:rPr>
              <w:t>14</w:t>
            </w:r>
            <w:r>
              <w:rPr>
                <w:rFonts w:hint="eastAsia"/>
                <w:sz w:val="24"/>
              </w:rPr>
              <w:t>个视野，每个视野拍摄3个断层，主要用于寄生虫卵检测。高倍镜（x40）可检测</w:t>
            </w:r>
            <w:r>
              <w:rPr>
                <w:sz w:val="24"/>
              </w:rPr>
              <w:t>14</w:t>
            </w:r>
            <w:r>
              <w:rPr>
                <w:rFonts w:hint="eastAsia"/>
                <w:sz w:val="24"/>
              </w:rPr>
              <w:t>个视野，每个视野拍摄5个断层，主要用于检测红细胞、白细胞、吞噬细胞、脓细胞、真菌孢子（霉菌）、夏科雷登结晶、脂肪球等。低倍镜和高倍镜均能对同一视野进行多层多焦距采集高清晰图像。</w:t>
            </w:r>
          </w:p>
          <w:p>
            <w:pPr>
              <w:spacing w:line="360" w:lineRule="auto"/>
              <w:rPr>
                <w:sz w:val="24"/>
              </w:rPr>
            </w:pPr>
            <w:r>
              <w:rPr>
                <w:rFonts w:hint="eastAsia"/>
                <w:sz w:val="24"/>
              </w:rPr>
              <w:t>10、数据链条：可连接LIS或HIS系统，双向传输。</w:t>
            </w:r>
          </w:p>
          <w:p>
            <w:pPr>
              <w:spacing w:line="360" w:lineRule="auto"/>
              <w:rPr>
                <w:sz w:val="24"/>
              </w:rPr>
            </w:pPr>
            <w:r>
              <w:rPr>
                <w:rFonts w:hint="eastAsia"/>
                <w:sz w:val="24"/>
              </w:rPr>
              <w:t>11、图片功能：高清CMOS摄像头，性状照片能储存与调用，自带高清图像同步传输功能，自动获取图片。</w:t>
            </w:r>
          </w:p>
          <w:p>
            <w:pPr>
              <w:spacing w:line="360" w:lineRule="auto"/>
              <w:rPr>
                <w:sz w:val="24"/>
              </w:rPr>
            </w:pPr>
            <w:r>
              <w:rPr>
                <w:rFonts w:hint="eastAsia"/>
                <w:sz w:val="24"/>
              </w:rPr>
              <w:t>12、镜检通道：四个通道。</w:t>
            </w:r>
          </w:p>
          <w:p>
            <w:pPr>
              <w:spacing w:line="360" w:lineRule="auto"/>
              <w:rPr>
                <w:sz w:val="24"/>
              </w:rPr>
            </w:pPr>
            <w:r>
              <w:rPr>
                <w:rFonts w:hint="eastAsia"/>
                <w:sz w:val="24"/>
              </w:rPr>
              <w:t>13、读片方式：图片自动保存，初筛软件，人工阅片审核。</w:t>
            </w:r>
          </w:p>
          <w:p>
            <w:pPr>
              <w:spacing w:line="360" w:lineRule="auto"/>
              <w:rPr>
                <w:sz w:val="24"/>
              </w:rPr>
            </w:pPr>
            <w:r>
              <w:rPr>
                <w:rFonts w:hint="eastAsia"/>
                <w:sz w:val="24"/>
              </w:rPr>
              <w:t>14、图片数量：高倍视野0-30张，低倍视野0-60张，最多可达相当于200张高倍视野的扫描面积。</w:t>
            </w:r>
          </w:p>
          <w:p>
            <w:pPr>
              <w:spacing w:line="360" w:lineRule="auto"/>
              <w:rPr>
                <w:sz w:val="24"/>
              </w:rPr>
            </w:pPr>
            <w:r>
              <w:rPr>
                <w:rFonts w:hint="eastAsia"/>
                <w:sz w:val="24"/>
              </w:rPr>
              <w:t>15、免疫学检测原理：采用一步法胶体金检测技术。仪器自动识别和添加试剂、自动拍照和判定结果、自动收集检测完的试剂卡。</w:t>
            </w:r>
          </w:p>
          <w:p>
            <w:pPr>
              <w:spacing w:line="360" w:lineRule="auto"/>
              <w:rPr>
                <w:sz w:val="24"/>
              </w:rPr>
            </w:pPr>
            <w:r>
              <w:rPr>
                <w:rFonts w:hint="eastAsia"/>
                <w:sz w:val="24"/>
              </w:rPr>
              <w:t>16、胶体金检测项目：隐血、转铁蛋白、轮状病毒抗原、腺病毒抗原、幽门螺杆菌抗原。</w:t>
            </w:r>
          </w:p>
          <w:p>
            <w:pPr>
              <w:spacing w:line="360" w:lineRule="auto"/>
              <w:rPr>
                <w:sz w:val="24"/>
              </w:rPr>
            </w:pPr>
            <w:r>
              <w:rPr>
                <w:rFonts w:hint="eastAsia"/>
                <w:sz w:val="24"/>
              </w:rPr>
              <w:t>17、胶体金检测位置：</w:t>
            </w:r>
            <w:r>
              <w:rPr>
                <w:rFonts w:hint="eastAsia" w:ascii="仿宋_GB2312" w:hAnsi="宋体" w:eastAsia="仿宋_GB2312"/>
                <w:color w:val="000000"/>
                <w:szCs w:val="21"/>
              </w:rPr>
              <w:t>≥</w:t>
            </w:r>
            <w:r>
              <w:rPr>
                <w:rFonts w:hint="eastAsia"/>
                <w:sz w:val="24"/>
              </w:rPr>
              <w:t>20个检测位，循环使用。</w:t>
            </w:r>
          </w:p>
          <w:p>
            <w:pPr>
              <w:spacing w:line="360" w:lineRule="auto"/>
              <w:rPr>
                <w:sz w:val="24"/>
              </w:rPr>
            </w:pPr>
            <w:r>
              <w:rPr>
                <w:rFonts w:hint="eastAsia"/>
                <w:sz w:val="24"/>
              </w:rPr>
              <w:t>18、胶体金试剂位置：</w:t>
            </w:r>
            <w:r>
              <w:rPr>
                <w:rFonts w:hint="eastAsia" w:ascii="仿宋_GB2312" w:hAnsi="宋体" w:eastAsia="仿宋_GB2312"/>
                <w:color w:val="000000"/>
                <w:szCs w:val="21"/>
              </w:rPr>
              <w:t>≥</w:t>
            </w:r>
            <w:r>
              <w:rPr>
                <w:rFonts w:hint="eastAsia"/>
                <w:sz w:val="24"/>
              </w:rPr>
              <w:t>4个试剂位；自动送卡，卡量监测报警，不停机加卡。</w:t>
            </w:r>
          </w:p>
          <w:p>
            <w:pPr>
              <w:spacing w:line="360" w:lineRule="auto"/>
              <w:rPr>
                <w:sz w:val="24"/>
              </w:rPr>
            </w:pPr>
            <w:r>
              <w:rPr>
                <w:rFonts w:hint="eastAsia"/>
                <w:sz w:val="24"/>
              </w:rPr>
              <w:t>19、胶体金判读：自动判读结果，电脑保留结果图片可供人工复核。</w:t>
            </w:r>
          </w:p>
          <w:p>
            <w:pPr>
              <w:spacing w:line="360" w:lineRule="auto"/>
              <w:rPr>
                <w:sz w:val="24"/>
              </w:rPr>
            </w:pPr>
            <w:r>
              <w:rPr>
                <w:rFonts w:hint="eastAsia"/>
                <w:sz w:val="24"/>
              </w:rPr>
              <w:t>20、废气处理：仪器内部空气经过过滤后可长距离排放至通风管道、下水道或室外。</w:t>
            </w:r>
          </w:p>
          <w:p>
            <w:pPr>
              <w:spacing w:line="360" w:lineRule="auto"/>
              <w:rPr>
                <w:sz w:val="24"/>
              </w:rPr>
            </w:pPr>
            <w:r>
              <w:rPr>
                <w:rFonts w:hint="eastAsia"/>
                <w:sz w:val="24"/>
              </w:rPr>
              <w:t>21、废液处理：废液自动收集到废液瓶或污水管道。</w:t>
            </w:r>
          </w:p>
          <w:p>
            <w:pPr>
              <w:spacing w:line="360" w:lineRule="auto"/>
              <w:rPr>
                <w:sz w:val="24"/>
              </w:rPr>
            </w:pPr>
            <w:r>
              <w:rPr>
                <w:rFonts w:hint="eastAsia"/>
                <w:sz w:val="24"/>
              </w:rPr>
              <w:t>22、废物处理：使用后的标本瓶、试管、试剂卡自动收集到仪器内置垃圾箱。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2460" w:type="dxa"/>
            <w:vAlign w:val="center"/>
          </w:tcPr>
          <w:p>
            <w:pPr>
              <w:jc w:val="center"/>
              <w:rPr>
                <w:sz w:val="28"/>
                <w:szCs w:val="28"/>
              </w:rPr>
            </w:pPr>
            <w:r>
              <w:rPr>
                <w:rFonts w:hint="eastAsia"/>
                <w:sz w:val="28"/>
                <w:szCs w:val="28"/>
              </w:rPr>
              <w:t>设备配置要求</w:t>
            </w:r>
          </w:p>
          <w:p>
            <w:pPr>
              <w:jc w:val="center"/>
              <w:rPr>
                <w:sz w:val="28"/>
                <w:szCs w:val="28"/>
              </w:rPr>
            </w:pPr>
            <w:r>
              <w:rPr>
                <w:rFonts w:hint="eastAsia"/>
                <w:sz w:val="28"/>
                <w:szCs w:val="28"/>
              </w:rPr>
              <w:t>（条目式）</w:t>
            </w:r>
          </w:p>
        </w:tc>
        <w:tc>
          <w:tcPr>
            <w:tcW w:w="7278" w:type="dxa"/>
            <w:gridSpan w:val="3"/>
          </w:tcPr>
          <w:p>
            <w:pPr>
              <w:pStyle w:val="11"/>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1、标准配置的粪便分析系统            1套</w:t>
            </w:r>
          </w:p>
          <w:p>
            <w:pPr>
              <w:spacing w:line="360" w:lineRule="auto"/>
              <w:jc w:val="left"/>
              <w:rPr>
                <w:rFonts w:ascii="宋体" w:hAnsi="宋体" w:cs="宋体"/>
                <w:color w:val="000000"/>
                <w:sz w:val="24"/>
              </w:rPr>
            </w:pPr>
            <w:r>
              <w:rPr>
                <w:rFonts w:hint="eastAsia" w:ascii="宋体" w:hAnsi="宋体" w:cs="宋体"/>
                <w:color w:val="000000"/>
                <w:sz w:val="24"/>
              </w:rPr>
              <w:t>2、配套操作电脑及软件（操作系统为Windows7或以上正版操作系统，处理器intel i5以上或同级， 4G及以上内存，500G及以上硬盘，8个及以上USB接口, 19寸及以上显示器），激光打印机1台）</w:t>
            </w:r>
          </w:p>
          <w:p>
            <w:pPr>
              <w:spacing w:line="360" w:lineRule="auto"/>
              <w:jc w:val="left"/>
              <w:rPr>
                <w:rFonts w:ascii="宋体" w:hAnsi="宋体" w:cs="宋体"/>
                <w:color w:val="000000"/>
                <w:sz w:val="24"/>
              </w:rPr>
            </w:pPr>
            <w:r>
              <w:rPr>
                <w:rFonts w:hint="eastAsia" w:ascii="宋体" w:hAnsi="宋体" w:cs="宋体"/>
                <w:color w:val="000000"/>
                <w:sz w:val="24"/>
              </w:rPr>
              <w:t xml:space="preserve">3、数据传输电脑（操作系统为Windows7或以上正版操作系统，处理器intel i5以上或同级， 4G及以上内存，500G及以上硬盘，8个及以上USB接口, 19寸及以上显示器），激光打印机1台）                     </w:t>
            </w:r>
          </w:p>
          <w:p>
            <w:pPr>
              <w:widowControl/>
              <w:autoSpaceDE w:val="0"/>
              <w:autoSpaceDN w:val="0"/>
              <w:adjustRightInd w:val="0"/>
              <w:rPr>
                <w:rFonts w:ascii="宋体" w:hAnsi="宋体" w:cs="宋体"/>
                <w:color w:val="000000"/>
                <w:sz w:val="24"/>
              </w:rPr>
            </w:pPr>
            <w:r>
              <w:rPr>
                <w:rFonts w:hint="eastAsia" w:ascii="宋体" w:hAnsi="宋体" w:cs="宋体"/>
                <w:color w:val="000000"/>
                <w:sz w:val="24"/>
              </w:rPr>
              <w:t xml:space="preserve">4、免费提供装机试剂 </w:t>
            </w:r>
            <w:r>
              <w:rPr>
                <w:rFonts w:ascii="宋体" w:hAnsi="宋体" w:cs="宋体"/>
                <w:color w:val="000000"/>
                <w:sz w:val="24"/>
              </w:rPr>
              <w:t>1</w:t>
            </w:r>
            <w:r>
              <w:rPr>
                <w:rFonts w:hint="eastAsia" w:ascii="宋体" w:hAnsi="宋体" w:cs="宋体"/>
                <w:color w:val="000000"/>
                <w:sz w:val="24"/>
              </w:rPr>
              <w:t>套（每个项目）</w:t>
            </w:r>
          </w:p>
          <w:p>
            <w:pPr>
              <w:spacing w:line="360" w:lineRule="auto"/>
              <w:jc w:val="left"/>
              <w:rPr>
                <w:rFonts w:ascii="宋体" w:hAnsi="宋体" w:cs="宋体"/>
                <w:color w:val="000000"/>
                <w:sz w:val="24"/>
              </w:rPr>
            </w:pPr>
            <w:r>
              <w:rPr>
                <w:rFonts w:hint="eastAsia" w:ascii="宋体" w:hAnsi="宋体" w:cs="宋体"/>
                <w:color w:val="000000"/>
                <w:sz w:val="24"/>
              </w:rPr>
              <w:t>5、免费提供仪器性能验证试剂500人份/项目，完成装机仪器方法性能验证。</w:t>
            </w:r>
          </w:p>
          <w:p>
            <w:pPr>
              <w:spacing w:line="360" w:lineRule="auto"/>
              <w:jc w:val="left"/>
              <w:rPr>
                <w:rFonts w:ascii="宋体" w:hAnsi="宋体" w:cs="宋体"/>
                <w:color w:val="000000"/>
                <w:sz w:val="24"/>
              </w:rPr>
            </w:pPr>
            <w:r>
              <w:rPr>
                <w:rFonts w:hint="eastAsia" w:ascii="宋体" w:hAnsi="宋体" w:cs="宋体"/>
                <w:color w:val="000000"/>
                <w:sz w:val="24"/>
              </w:rPr>
              <w:t>6、备用样本针、试剂针等 1套。</w:t>
            </w:r>
          </w:p>
          <w:p>
            <w:pPr>
              <w:spacing w:line="360" w:lineRule="auto"/>
              <w:jc w:val="left"/>
              <w:rPr>
                <w:rFonts w:ascii="宋体" w:hAnsi="宋体" w:cs="宋体"/>
                <w:color w:val="000000"/>
                <w:sz w:val="24"/>
              </w:rPr>
            </w:pPr>
            <w:r>
              <w:rPr>
                <w:rFonts w:hint="eastAsia" w:ascii="宋体" w:hAnsi="宋体" w:cs="宋体"/>
                <w:color w:val="000000"/>
                <w:sz w:val="24"/>
              </w:rPr>
              <w:t>7、若医院提供UPS机房无法满足需求，每组设备需配在线UPS 系统，以保障突然断电时仪器正常运行。</w:t>
            </w:r>
          </w:p>
          <w:p>
            <w:pPr>
              <w:spacing w:line="360" w:lineRule="auto"/>
              <w:jc w:val="left"/>
              <w:rPr>
                <w:rFonts w:ascii="Arial" w:hAnsi="Arial" w:cs="Arial"/>
                <w:kern w:val="0"/>
                <w:sz w:val="20"/>
                <w:szCs w:val="20"/>
                <w:lang w:val="pt-BR"/>
              </w:rPr>
            </w:pPr>
            <w:r>
              <w:rPr>
                <w:rFonts w:hint="eastAsia" w:ascii="宋体" w:hAnsi="宋体" w:cs="宋体"/>
                <w:color w:val="000000"/>
                <w:sz w:val="24"/>
              </w:rPr>
              <w:t>8、若医院提供集中供应纯水无法满足临床检测需求，需提供能满足临床检测需求配套纯水机。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2460" w:type="dxa"/>
            <w:vAlign w:val="center"/>
          </w:tcPr>
          <w:p>
            <w:pPr>
              <w:jc w:val="center"/>
              <w:rPr>
                <w:sz w:val="28"/>
                <w:szCs w:val="28"/>
              </w:rPr>
            </w:pPr>
            <w:r>
              <w:rPr>
                <w:rFonts w:hint="eastAsia"/>
                <w:sz w:val="28"/>
                <w:szCs w:val="28"/>
              </w:rPr>
              <w:t>培训要求</w:t>
            </w:r>
          </w:p>
        </w:tc>
        <w:tc>
          <w:tcPr>
            <w:tcW w:w="7278" w:type="dxa"/>
            <w:gridSpan w:val="3"/>
          </w:tcPr>
          <w:p>
            <w:pPr>
              <w:numPr>
                <w:ilvl w:val="0"/>
                <w:numId w:val="1"/>
              </w:numPr>
              <w:spacing w:line="360" w:lineRule="auto"/>
              <w:rPr>
                <w:rFonts w:ascii="宋体" w:hAnsi="宋体" w:cs="宋体"/>
                <w:color w:val="000000"/>
                <w:sz w:val="24"/>
              </w:rPr>
            </w:pPr>
            <w:r>
              <w:rPr>
                <w:rFonts w:hint="eastAsia" w:ascii="宋体" w:hAnsi="宋体" w:cs="宋体"/>
                <w:color w:val="000000"/>
                <w:sz w:val="24"/>
              </w:rPr>
              <w:t>产品供应商应承诺对所供产品满足国家有关质量技术标准及相关法律、法规和规定的要求；并附有产品注册证、使用说明书、简易操作卡、保修卡、安装报告。</w:t>
            </w:r>
          </w:p>
          <w:p>
            <w:pPr>
              <w:numPr>
                <w:ilvl w:val="0"/>
                <w:numId w:val="1"/>
              </w:numPr>
              <w:spacing w:line="360" w:lineRule="auto"/>
              <w:rPr>
                <w:rFonts w:ascii="宋体" w:hAnsi="宋体" w:cs="宋体"/>
                <w:color w:val="000000"/>
                <w:sz w:val="24"/>
              </w:rPr>
            </w:pPr>
            <w:r>
              <w:rPr>
                <w:rFonts w:hint="eastAsia" w:ascii="宋体" w:hAnsi="宋体" w:cs="宋体"/>
                <w:color w:val="000000"/>
                <w:sz w:val="24"/>
              </w:rPr>
              <w:t>产品供应商应承诺所供产品、试剂等符合华西医院设备物资部各项管理规定。</w:t>
            </w:r>
          </w:p>
          <w:p>
            <w:pPr>
              <w:numPr>
                <w:ilvl w:val="0"/>
                <w:numId w:val="1"/>
              </w:numPr>
              <w:spacing w:line="360" w:lineRule="auto"/>
              <w:rPr>
                <w:rFonts w:ascii="宋体" w:hAnsi="宋体" w:cs="宋体"/>
                <w:color w:val="000000"/>
                <w:sz w:val="24"/>
              </w:rPr>
            </w:pPr>
            <w:r>
              <w:rPr>
                <w:rFonts w:hint="eastAsia" w:ascii="宋体" w:hAnsi="宋体" w:cs="宋体"/>
                <w:color w:val="000000"/>
                <w:sz w:val="24"/>
              </w:rPr>
              <w:t>产品供应商应根据使用客户需求，组织客户进行集中、分散培训；直至相关人员熟练掌握使用技能为止，并提供详细培训计划。</w:t>
            </w:r>
          </w:p>
          <w:p>
            <w:pPr>
              <w:spacing w:line="360" w:lineRule="auto"/>
              <w:rPr>
                <w:sz w:val="28"/>
                <w:szCs w:val="28"/>
              </w:rPr>
            </w:pPr>
            <w:r>
              <w:rPr>
                <w:rFonts w:hint="eastAsia" w:ascii="宋体" w:hAnsi="宋体" w:cs="宋体"/>
                <w:color w:val="000000"/>
                <w:sz w:val="24"/>
              </w:rPr>
              <w:t>4、产品供应商应按照使用客户的需求对临床科室进行现场培训、答疑，其内容涉及项目基本原理、临床意义、案例分析、临床应用等有关内容。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2460" w:type="dxa"/>
            <w:vAlign w:val="center"/>
          </w:tcPr>
          <w:p>
            <w:pPr>
              <w:jc w:val="center"/>
              <w:rPr>
                <w:sz w:val="28"/>
                <w:szCs w:val="28"/>
              </w:rPr>
            </w:pPr>
            <w:r>
              <w:rPr>
                <w:rFonts w:hint="eastAsia"/>
                <w:sz w:val="28"/>
                <w:szCs w:val="28"/>
              </w:rPr>
              <w:t>其它要求</w:t>
            </w:r>
          </w:p>
        </w:tc>
        <w:tc>
          <w:tcPr>
            <w:tcW w:w="7278" w:type="dxa"/>
            <w:gridSpan w:val="3"/>
          </w:tcPr>
          <w:p>
            <w:pPr>
              <w:numPr>
                <w:ilvl w:val="0"/>
                <w:numId w:val="2"/>
              </w:numPr>
              <w:spacing w:line="360" w:lineRule="auto"/>
              <w:rPr>
                <w:rFonts w:ascii="宋体" w:hAnsi="宋体" w:cs="宋体"/>
                <w:color w:val="000000"/>
                <w:sz w:val="24"/>
              </w:rPr>
            </w:pPr>
            <w:r>
              <w:rPr>
                <w:rFonts w:hint="eastAsia" w:ascii="宋体" w:hAnsi="宋体" w:cs="宋体"/>
                <w:color w:val="000000"/>
                <w:sz w:val="24"/>
              </w:rPr>
              <w:t>保修期从设备安装完成并验收合格之日起开始，生产厂家需要出具售后服务承诺书，保修、维护维修符合华西医院各项规定要求。</w:t>
            </w:r>
          </w:p>
          <w:p>
            <w:pPr>
              <w:numPr>
                <w:ilvl w:val="0"/>
                <w:numId w:val="2"/>
              </w:numPr>
              <w:spacing w:line="360" w:lineRule="auto"/>
              <w:rPr>
                <w:rFonts w:ascii="宋体" w:hAnsi="宋体" w:cs="宋体"/>
                <w:color w:val="000000"/>
                <w:sz w:val="24"/>
              </w:rPr>
            </w:pPr>
            <w:r>
              <w:rPr>
                <w:rFonts w:hint="eastAsia" w:ascii="宋体" w:hAnsi="宋体" w:cs="宋体"/>
                <w:color w:val="000000"/>
                <w:sz w:val="24"/>
              </w:rPr>
              <w:t>设备出现故障时，工程师2小时到场，6小时完成维修，超过6小时提供备用设备。</w:t>
            </w:r>
          </w:p>
          <w:p>
            <w:pPr>
              <w:numPr>
                <w:ilvl w:val="0"/>
                <w:numId w:val="2"/>
              </w:numPr>
              <w:spacing w:line="360" w:lineRule="auto"/>
              <w:rPr>
                <w:rFonts w:ascii="宋体" w:hAnsi="宋体" w:cs="宋体"/>
                <w:color w:val="000000"/>
                <w:sz w:val="24"/>
              </w:rPr>
            </w:pPr>
            <w:r>
              <w:rPr>
                <w:rFonts w:hint="eastAsia" w:ascii="宋体" w:hAnsi="宋体" w:cs="宋体"/>
                <w:color w:val="000000"/>
                <w:sz w:val="24"/>
              </w:rPr>
              <w:t>各种定标品、质控品、缓冲液、清洗液、样本杯等耗材价格计入主试剂，不单独进行购买。</w:t>
            </w:r>
          </w:p>
          <w:p>
            <w:pPr>
              <w:numPr>
                <w:ilvl w:val="0"/>
                <w:numId w:val="2"/>
              </w:numPr>
              <w:spacing w:line="360" w:lineRule="auto"/>
              <w:rPr>
                <w:sz w:val="28"/>
                <w:szCs w:val="28"/>
              </w:rPr>
            </w:pPr>
            <w:r>
              <w:rPr>
                <w:rFonts w:hint="eastAsia" w:ascii="宋体" w:hAnsi="宋体" w:cs="宋体"/>
                <w:color w:val="000000"/>
                <w:sz w:val="24"/>
              </w:rPr>
              <w:t>免费协助进行每年不少于2次的仪器性能验证（包括所需试剂、耗材等）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vAlign w:val="center"/>
          </w:tcPr>
          <w:p>
            <w:pPr>
              <w:jc w:val="center"/>
              <w:rPr>
                <w:sz w:val="28"/>
                <w:szCs w:val="28"/>
              </w:rPr>
            </w:pPr>
            <w:r>
              <w:rPr>
                <w:rFonts w:hint="eastAsia"/>
                <w:sz w:val="28"/>
                <w:szCs w:val="28"/>
              </w:rPr>
              <w:t>科室管理小组签名</w:t>
            </w:r>
          </w:p>
          <w:p>
            <w:pPr>
              <w:jc w:val="center"/>
              <w:rPr>
                <w:sz w:val="28"/>
                <w:szCs w:val="28"/>
              </w:rPr>
            </w:pPr>
            <w:r>
              <w:rPr>
                <w:rFonts w:hint="eastAsia"/>
                <w:sz w:val="28"/>
                <w:szCs w:val="28"/>
              </w:rPr>
              <w:t>（</w:t>
            </w:r>
            <w:r>
              <w:rPr>
                <w:rFonts w:hint="eastAsia"/>
                <w:sz w:val="24"/>
                <w:szCs w:val="28"/>
              </w:rPr>
              <w:t>三人或三人以上，必须包含科室负责人）</w:t>
            </w:r>
          </w:p>
        </w:tc>
        <w:tc>
          <w:tcPr>
            <w:tcW w:w="7278" w:type="dxa"/>
            <w:gridSpan w:val="3"/>
          </w:tcPr>
          <w:p>
            <w:pPr>
              <w:rPr>
                <w:sz w:val="28"/>
                <w:szCs w:val="28"/>
              </w:rPr>
            </w:pPr>
          </w:p>
          <w:p>
            <w:pPr>
              <w:rPr>
                <w:sz w:val="28"/>
                <w:szCs w:val="28"/>
              </w:rPr>
            </w:pPr>
          </w:p>
          <w:p>
            <w:pPr>
              <w:rPr>
                <w:sz w:val="28"/>
                <w:szCs w:val="28"/>
              </w:rPr>
            </w:pPr>
          </w:p>
          <w:p>
            <w:pPr>
              <w:rPr>
                <w:sz w:val="28"/>
                <w:szCs w:val="28"/>
              </w:rPr>
            </w:pPr>
          </w:p>
          <w:p>
            <w:pPr>
              <w:rPr>
                <w:sz w:val="28"/>
                <w:szCs w:val="28"/>
              </w:rPr>
            </w:pPr>
          </w:p>
        </w:tc>
      </w:tr>
    </w:tbl>
    <w:p>
      <w:pPr>
        <w:ind w:firstLine="6160" w:firstLineChars="2200"/>
        <w:rPr>
          <w:sz w:val="28"/>
          <w:szCs w:val="28"/>
        </w:rPr>
      </w:pPr>
      <w:r>
        <w:rPr>
          <w:rFonts w:hint="eastAsia"/>
          <w:sz w:val="28"/>
          <w:szCs w:val="28"/>
        </w:rPr>
        <w:t>年      月      日</w:t>
      </w: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ind w:firstLine="6160" w:firstLineChars="2200"/>
        <w:rPr>
          <w:sz w:val="28"/>
          <w:szCs w:val="28"/>
        </w:rPr>
      </w:pPr>
    </w:p>
    <w:p>
      <w:pPr>
        <w:jc w:val="center"/>
        <w:rPr>
          <w:sz w:val="24"/>
        </w:rPr>
      </w:pPr>
      <w:r>
        <w:rPr>
          <w:rFonts w:hint="eastAsia"/>
          <w:sz w:val="24"/>
        </w:rPr>
        <w:t>大便常规标本量估算（每月）</w:t>
      </w:r>
    </w:p>
    <w:p>
      <w:pPr>
        <w:jc w:val="center"/>
        <w:rPr>
          <w:sz w:val="24"/>
        </w:rPr>
      </w:pPr>
    </w:p>
    <w:tbl>
      <w:tblPr>
        <w:tblStyle w:val="7"/>
        <w:tblW w:w="8907"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817"/>
        <w:gridCol w:w="281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center"/>
          </w:tcPr>
          <w:p>
            <w:pPr>
              <w:jc w:val="center"/>
            </w:pPr>
            <w:r>
              <w:rPr>
                <w:rFonts w:hint="eastAsia"/>
              </w:rPr>
              <w:t>项目</w:t>
            </w:r>
          </w:p>
        </w:tc>
        <w:tc>
          <w:tcPr>
            <w:tcW w:w="1817" w:type="dxa"/>
            <w:vAlign w:val="center"/>
          </w:tcPr>
          <w:p>
            <w:pPr>
              <w:jc w:val="center"/>
            </w:pPr>
            <w:r>
              <w:rPr>
                <w:rFonts w:hint="eastAsia"/>
              </w:rPr>
              <w:t>华西本部一个月样本量</w:t>
            </w:r>
          </w:p>
        </w:tc>
        <w:tc>
          <w:tcPr>
            <w:tcW w:w="2810" w:type="dxa"/>
            <w:vAlign w:val="center"/>
          </w:tcPr>
          <w:p>
            <w:pPr>
              <w:jc w:val="center"/>
            </w:pPr>
            <w:r>
              <w:rPr>
                <w:rFonts w:hint="eastAsia"/>
              </w:rPr>
              <w:t>预估华西天府样本量</w:t>
            </w:r>
          </w:p>
          <w:p>
            <w:pPr>
              <w:jc w:val="center"/>
            </w:pPr>
            <w:r>
              <w:rPr>
                <w:rFonts w:hint="eastAsia"/>
              </w:rPr>
              <w:t>（按本部1/3估算）</w:t>
            </w:r>
          </w:p>
        </w:tc>
        <w:tc>
          <w:tcPr>
            <w:tcW w:w="2670"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0" w:type="dxa"/>
            <w:vAlign w:val="center"/>
          </w:tcPr>
          <w:p>
            <w:pPr>
              <w:jc w:val="center"/>
            </w:pPr>
            <w:r>
              <w:rPr>
                <w:rFonts w:hint="eastAsia"/>
              </w:rPr>
              <w:t>大便常规</w:t>
            </w:r>
          </w:p>
        </w:tc>
        <w:tc>
          <w:tcPr>
            <w:tcW w:w="1817" w:type="dxa"/>
            <w:vAlign w:val="center"/>
          </w:tcPr>
          <w:p>
            <w:pPr>
              <w:jc w:val="center"/>
            </w:pPr>
            <w:r>
              <w:rPr>
                <w:rFonts w:hint="eastAsia"/>
              </w:rPr>
              <w:t>10000</w:t>
            </w:r>
          </w:p>
        </w:tc>
        <w:tc>
          <w:tcPr>
            <w:tcW w:w="2810" w:type="dxa"/>
            <w:vAlign w:val="center"/>
          </w:tcPr>
          <w:p>
            <w:pPr>
              <w:jc w:val="center"/>
              <w:rPr>
                <w:rFonts w:ascii="宋体" w:hAnsi="宋体" w:cs="宋体"/>
                <w:color w:val="000000"/>
                <w:sz w:val="22"/>
              </w:rPr>
            </w:pPr>
            <w:r>
              <w:rPr>
                <w:rFonts w:hint="eastAsia"/>
                <w:color w:val="000000"/>
                <w:sz w:val="22"/>
              </w:rPr>
              <w:t>3000</w:t>
            </w:r>
          </w:p>
        </w:tc>
        <w:tc>
          <w:tcPr>
            <w:tcW w:w="2670" w:type="dxa"/>
          </w:tcPr>
          <w:p>
            <w:pPr>
              <w:jc w:val="center"/>
            </w:pPr>
          </w:p>
        </w:tc>
      </w:tr>
    </w:tbl>
    <w:p>
      <w:pPr>
        <w:ind w:firstLine="6160" w:firstLineChars="2200"/>
        <w:rPr>
          <w:sz w:val="28"/>
          <w:szCs w:val="28"/>
        </w:rPr>
      </w:pP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334FC"/>
    <w:multiLevelType w:val="singleLevel"/>
    <w:tmpl w:val="D04334FC"/>
    <w:lvl w:ilvl="0" w:tentative="0">
      <w:start w:val="1"/>
      <w:numFmt w:val="decimal"/>
      <w:suff w:val="nothing"/>
      <w:lvlText w:val="%1、"/>
      <w:lvlJc w:val="left"/>
    </w:lvl>
  </w:abstractNum>
  <w:abstractNum w:abstractNumId="1">
    <w:nsid w:val="FB09E838"/>
    <w:multiLevelType w:val="singleLevel"/>
    <w:tmpl w:val="FB09E8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sTS2MDM1NDOzNDQxtzRU0lEKTi0uzszPAykwqQUAur9x4iwAAAA="/>
  </w:docVars>
  <w:rsids>
    <w:rsidRoot w:val="00B10A9B"/>
    <w:rsid w:val="00003BC2"/>
    <w:rsid w:val="00047A48"/>
    <w:rsid w:val="001449BE"/>
    <w:rsid w:val="001600C5"/>
    <w:rsid w:val="0016110B"/>
    <w:rsid w:val="00164EB4"/>
    <w:rsid w:val="00183C56"/>
    <w:rsid w:val="001E3223"/>
    <w:rsid w:val="0026276B"/>
    <w:rsid w:val="00283AF2"/>
    <w:rsid w:val="002D1716"/>
    <w:rsid w:val="002D4553"/>
    <w:rsid w:val="00317822"/>
    <w:rsid w:val="00544E0B"/>
    <w:rsid w:val="005A4421"/>
    <w:rsid w:val="005B54AE"/>
    <w:rsid w:val="00604ABF"/>
    <w:rsid w:val="00635A9A"/>
    <w:rsid w:val="00672455"/>
    <w:rsid w:val="0072549C"/>
    <w:rsid w:val="00741C72"/>
    <w:rsid w:val="007F7425"/>
    <w:rsid w:val="008037EE"/>
    <w:rsid w:val="0083569E"/>
    <w:rsid w:val="00841602"/>
    <w:rsid w:val="00871DAD"/>
    <w:rsid w:val="008E051C"/>
    <w:rsid w:val="009407B6"/>
    <w:rsid w:val="00994E25"/>
    <w:rsid w:val="009A2030"/>
    <w:rsid w:val="00A6166A"/>
    <w:rsid w:val="00A71FFF"/>
    <w:rsid w:val="00B10A9B"/>
    <w:rsid w:val="00B9161C"/>
    <w:rsid w:val="00BC7BC6"/>
    <w:rsid w:val="00BE5AEB"/>
    <w:rsid w:val="00CA141E"/>
    <w:rsid w:val="00E14136"/>
    <w:rsid w:val="00E169A6"/>
    <w:rsid w:val="00E3193A"/>
    <w:rsid w:val="00ED16DA"/>
    <w:rsid w:val="00ED38EC"/>
    <w:rsid w:val="00EF2025"/>
    <w:rsid w:val="00F30749"/>
    <w:rsid w:val="20F140C3"/>
    <w:rsid w:val="254177BB"/>
    <w:rsid w:val="254E5B94"/>
    <w:rsid w:val="378D5C3B"/>
    <w:rsid w:val="4587183B"/>
    <w:rsid w:val="5C455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qFormat/>
    <w:uiPriority w:val="0"/>
    <w:pPr>
      <w:keepNext/>
      <w:keepLines/>
      <w:spacing w:before="280" w:after="290" w:line="372" w:lineRule="auto"/>
      <w:ind w:firstLine="200" w:firstLineChars="200"/>
      <w:outlineLvl w:val="3"/>
    </w:pPr>
    <w:rPr>
      <w:rFonts w:ascii="Arial" w:hAnsi="Arial" w:eastAsia="黑体"/>
      <w:b/>
      <w:sz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1735</Words>
  <Characters>1834</Characters>
  <Lines>14</Lines>
  <Paragraphs>3</Paragraphs>
  <TotalTime>29</TotalTime>
  <ScaleCrop>false</ScaleCrop>
  <LinksUpToDate>false</LinksUpToDate>
  <CharactersWithSpaces>1892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2018-01-24T08:10:00Z</dcterms:created>
  <dc:creator>ch</dc:creator>
  <cp:lastModifiedBy>毛六</cp:lastModifiedBy>
  <cp:lastPrinted>2013-10-12T01:54:00Z</cp:lastPrinted>
  <dcterms:modified xsi:type="dcterms:W3CDTF">2022-04-22T08:42:42Z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eyJoZGlkIjoiYmY2MmFmYWY4NDZkYjQzYWMxYTNhMGE4OGRlN2ZlMWUifQ==</vt:lpwstr>
  </property>
  <property fmtid="{D5CDD505-2E9C-101B-9397-08002B2CF9AE}" pid="4" name="ICV">
    <vt:lpwstr>1B8BBE35751B4CC5B0D0928A9494A9A8</vt:lpwstr>
  </property>
</Properties>
</file>