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442" w:firstLineChars="100"/>
        <w:jc w:val="center"/>
        <w:textAlignment w:val="auto"/>
        <w:outlineLvl w:val="4"/>
        <w:rPr>
          <w:rFonts w:hint="eastAsia" w:ascii="方正小标宋简体" w:hAnsi="方正小标宋简体" w:eastAsia="方正小标宋简体" w:cs="方正小标宋简体"/>
          <w:color w:val="666666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麻醉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手术中心（麻醉科）临床医师规范化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进修招生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简章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科室简介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成都上锦南府医院暨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四川大学华西上锦医院是四川大学华西医院全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面托</w:t>
      </w:r>
      <w:r>
        <w:rPr>
          <w:rFonts w:hint="eastAsia" w:ascii="仿宋_GB2312" w:hAnsi="仿宋_GB2312" w:eastAsia="仿宋_GB2312" w:cs="仿宋_GB2312"/>
          <w:sz w:val="32"/>
          <w:szCs w:val="32"/>
        </w:rPr>
        <w:t>管的综合三级甲等医院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上锦医院麻醉科成立于2012年，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现有1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个层流手术室，3个手术室外麻醉点，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2个DSA手术间，20余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张麻醉复苏床位，常规开设麻醉门诊。科室现有高级职称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人，中级职称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人，初级职称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人，另有麻醉监测护士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0余人协助临床麻醉管理。每年完成手术室内麻醉例2万余例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，手术室外麻醉1万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例次。包括骨科麻醉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12395" cy="112395"/>
            <wp:effectExtent l="0" t="0" r="0" b="635"/>
            <wp:docPr id="1" name="图片 2" descr="1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17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普外科麻醉</w:t>
      </w: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12395" cy="112395"/>
            <wp:effectExtent l="0" t="0" r="0" b="635"/>
            <wp:docPr id="2" name="图片 3" descr="11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1177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z w:val="32"/>
          <w:szCs w:val="32"/>
        </w:rPr>
        <w:t>妇科麻醉（不含产科）、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神经外科麻醉、心胸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血管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外科麻醉、手术室外麻醉（含无痛胃肠镜、无痛纤维支气管镜、无痛人流麻醉）、眼耳鼻喉科麻醉、泌尿外科麻醉等专业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同时还常规开展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Hans"/>
        </w:rPr>
        <w:t>围术期疼痛管理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经食道/经胸心脏超声监测、超声引导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动静脉血管穿刺置管、超声引导下神经阻滞、纤支镜引导气管插管以及各种可视化技术。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</w:t>
      </w:r>
    </w:p>
    <w:p>
      <w:pPr>
        <w:pStyle w:val="1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二、培养方案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针对进修医师的不同需求，麻醉科常年招收临床麻醉、临床科研专业的进修人员。</w:t>
      </w:r>
    </w:p>
    <w:tbl>
      <w:tblPr>
        <w:tblStyle w:val="7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2146"/>
        <w:gridCol w:w="1913"/>
        <w:gridCol w:w="23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进修专业方向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进修时间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入学时间</w:t>
            </w:r>
          </w:p>
        </w:tc>
        <w:tc>
          <w:tcPr>
            <w:tcW w:w="2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临床麻醉</w:t>
            </w:r>
          </w:p>
        </w:tc>
        <w:tc>
          <w:tcPr>
            <w:tcW w:w="214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</w:rPr>
              <w:t>1年/半年</w:t>
            </w:r>
          </w:p>
        </w:tc>
        <w:tc>
          <w:tcPr>
            <w:tcW w:w="1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3月/ 9月</w:t>
            </w:r>
          </w:p>
        </w:tc>
        <w:tc>
          <w:tcPr>
            <w:tcW w:w="231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每年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批次招收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2．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</w:rPr>
        <w:t>常规开展临床麻醉床旁教学：各亚专科临床麻醉管理、急危重症患者临床麻醉管理、超声引导下动静脉穿刺置管、超声引导下躯干以及四肢神经阻滞、经胸/经食道超声指导下围术期血流动力学管理、急诊创伤患者FAST/E-FAST超声评估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、纤支镜引导气管插管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</w:rPr>
        <w:t>每周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三、四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</w:rPr>
        <w:t>按计划进行基础理论教学课程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</w:rPr>
        <w:t>疑难病例讨论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  <w:lang w:val="en-US" w:eastAsia="zh-CN"/>
        </w:rPr>
        <w:t>不定时开展专项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床旁技能培训</w:t>
      </w:r>
      <w:r>
        <w:rPr>
          <w:rFonts w:hint="eastAsia" w:ascii="仿宋_GB2312" w:hAnsi="仿宋_GB2312" w:eastAsia="仿宋_GB2312" w:cs="仿宋_GB2312"/>
          <w:b w:val="0"/>
          <w:color w:val="333333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进修学员资质要求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 xml:space="preserve">    总要求：年龄45岁以下，身体健康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</w:rPr>
        <w:t>。热爱麻醉事业，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能胜任繁重的临床和科研工作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遵守科室整体排班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b w:val="0"/>
          <w:bCs/>
          <w:color w:val="333333"/>
          <w:kern w:val="0"/>
          <w:sz w:val="32"/>
          <w:szCs w:val="32"/>
        </w:rPr>
        <w:t>，根据临床需求以及个人进修需求安排临床工作岗位轮转。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临床麻醉：大学本科及以上学历，从事临床麻醉工作1年及以上，具有执业医师资格且执业范围为麻醉学或外科学（麻醉专业）。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其他说明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个人和所属单位无须缴纳进修费用；四川省进修办统一发放进修结业证明。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报名方式：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省内医疗机构学员通过以下链接报名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"https://ysjx.scwsrc.com/succezbi/"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10"/>
          <w:rFonts w:hint="eastAsia" w:ascii="仿宋_GB2312" w:hAnsi="仿宋_GB2312" w:eastAsia="仿宋_GB2312" w:cs="仿宋_GB2312"/>
          <w:sz w:val="32"/>
          <w:szCs w:val="32"/>
        </w:rPr>
        <w:t>https://ysjx.scwsrc.com/succezbi/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</w:rPr>
        <w:t>外医疗机构学员请联系人事科报名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咨询电话：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人事科：028-62539012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麻醉科：15108229330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何老师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麻醉手术中心（麻醉科）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54" w:firstLineChars="1767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2026年1月15日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337C2"/>
    <w:multiLevelType w:val="multilevel"/>
    <w:tmpl w:val="3F9337C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02"/>
    <w:rsid w:val="00026307"/>
    <w:rsid w:val="000533FE"/>
    <w:rsid w:val="000E0326"/>
    <w:rsid w:val="00110A44"/>
    <w:rsid w:val="001733FE"/>
    <w:rsid w:val="00180AF7"/>
    <w:rsid w:val="00185D5C"/>
    <w:rsid w:val="0022699A"/>
    <w:rsid w:val="0024232B"/>
    <w:rsid w:val="002449A8"/>
    <w:rsid w:val="0025380A"/>
    <w:rsid w:val="002874CC"/>
    <w:rsid w:val="002A2264"/>
    <w:rsid w:val="002C5E1F"/>
    <w:rsid w:val="00330C3A"/>
    <w:rsid w:val="00351A23"/>
    <w:rsid w:val="00356613"/>
    <w:rsid w:val="003B7D05"/>
    <w:rsid w:val="00404258"/>
    <w:rsid w:val="00404BCA"/>
    <w:rsid w:val="00450A39"/>
    <w:rsid w:val="004717C0"/>
    <w:rsid w:val="00472851"/>
    <w:rsid w:val="004A36E1"/>
    <w:rsid w:val="004A40DC"/>
    <w:rsid w:val="00510D94"/>
    <w:rsid w:val="00516E29"/>
    <w:rsid w:val="00586F74"/>
    <w:rsid w:val="005A01A8"/>
    <w:rsid w:val="005A5FA9"/>
    <w:rsid w:val="005B380E"/>
    <w:rsid w:val="00646916"/>
    <w:rsid w:val="00650DD2"/>
    <w:rsid w:val="0066098E"/>
    <w:rsid w:val="00697314"/>
    <w:rsid w:val="006C1AF6"/>
    <w:rsid w:val="006E1906"/>
    <w:rsid w:val="006F59C2"/>
    <w:rsid w:val="0070617A"/>
    <w:rsid w:val="007477F7"/>
    <w:rsid w:val="007554C0"/>
    <w:rsid w:val="007A2833"/>
    <w:rsid w:val="007A5FB9"/>
    <w:rsid w:val="007B6BCE"/>
    <w:rsid w:val="0080680E"/>
    <w:rsid w:val="008707C6"/>
    <w:rsid w:val="008D71AB"/>
    <w:rsid w:val="009168EF"/>
    <w:rsid w:val="00927688"/>
    <w:rsid w:val="00942234"/>
    <w:rsid w:val="009632C5"/>
    <w:rsid w:val="009A0603"/>
    <w:rsid w:val="009A0F51"/>
    <w:rsid w:val="009B18CC"/>
    <w:rsid w:val="009C13DE"/>
    <w:rsid w:val="00A00074"/>
    <w:rsid w:val="00A12C56"/>
    <w:rsid w:val="00A2435B"/>
    <w:rsid w:val="00A25EC9"/>
    <w:rsid w:val="00A33A85"/>
    <w:rsid w:val="00A36E17"/>
    <w:rsid w:val="00A74577"/>
    <w:rsid w:val="00A763F6"/>
    <w:rsid w:val="00AA1DA7"/>
    <w:rsid w:val="00AA25DD"/>
    <w:rsid w:val="00AC6002"/>
    <w:rsid w:val="00AC7121"/>
    <w:rsid w:val="00AF0A27"/>
    <w:rsid w:val="00AF2676"/>
    <w:rsid w:val="00B41F34"/>
    <w:rsid w:val="00B5446A"/>
    <w:rsid w:val="00B70A7D"/>
    <w:rsid w:val="00B942B9"/>
    <w:rsid w:val="00B962A0"/>
    <w:rsid w:val="00BA1781"/>
    <w:rsid w:val="00BD6A0D"/>
    <w:rsid w:val="00C50B71"/>
    <w:rsid w:val="00D35784"/>
    <w:rsid w:val="00D3658B"/>
    <w:rsid w:val="00D47112"/>
    <w:rsid w:val="00D81FDE"/>
    <w:rsid w:val="00E21E5A"/>
    <w:rsid w:val="00E27B64"/>
    <w:rsid w:val="00E37148"/>
    <w:rsid w:val="00E4412F"/>
    <w:rsid w:val="00E9115F"/>
    <w:rsid w:val="00ED39C3"/>
    <w:rsid w:val="00EE2BE2"/>
    <w:rsid w:val="00F1739E"/>
    <w:rsid w:val="00F23970"/>
    <w:rsid w:val="00F66769"/>
    <w:rsid w:val="00FB0171"/>
    <w:rsid w:val="00FD2CA5"/>
    <w:rsid w:val="00FE6E50"/>
    <w:rsid w:val="00FF75A5"/>
    <w:rsid w:val="02214F52"/>
    <w:rsid w:val="044B6EE4"/>
    <w:rsid w:val="05BE49B1"/>
    <w:rsid w:val="085A6662"/>
    <w:rsid w:val="08B9043E"/>
    <w:rsid w:val="09E94ACC"/>
    <w:rsid w:val="0B4501BA"/>
    <w:rsid w:val="0C505DBA"/>
    <w:rsid w:val="0D284668"/>
    <w:rsid w:val="0E4212C5"/>
    <w:rsid w:val="0EAC0600"/>
    <w:rsid w:val="0EE2546F"/>
    <w:rsid w:val="127A4598"/>
    <w:rsid w:val="12DA3AE0"/>
    <w:rsid w:val="14037AD9"/>
    <w:rsid w:val="180A4ECF"/>
    <w:rsid w:val="1C3D0883"/>
    <w:rsid w:val="22592627"/>
    <w:rsid w:val="231A0252"/>
    <w:rsid w:val="25C87637"/>
    <w:rsid w:val="266FDCF0"/>
    <w:rsid w:val="267730B7"/>
    <w:rsid w:val="27215D7C"/>
    <w:rsid w:val="2AF85DCD"/>
    <w:rsid w:val="2D7BE486"/>
    <w:rsid w:val="3EF8C9EE"/>
    <w:rsid w:val="4A9160CB"/>
    <w:rsid w:val="55DA6721"/>
    <w:rsid w:val="56B63ED0"/>
    <w:rsid w:val="58E2303C"/>
    <w:rsid w:val="591B45AD"/>
    <w:rsid w:val="5ED762D6"/>
    <w:rsid w:val="5FE9A8F3"/>
    <w:rsid w:val="5FF9D66C"/>
    <w:rsid w:val="653743C4"/>
    <w:rsid w:val="66D14689"/>
    <w:rsid w:val="6E85488D"/>
    <w:rsid w:val="6FFA2EF8"/>
    <w:rsid w:val="76DF35E4"/>
    <w:rsid w:val="77B308E6"/>
    <w:rsid w:val="7BBD0E9D"/>
    <w:rsid w:val="7BE6CAB1"/>
    <w:rsid w:val="7BFF93BB"/>
    <w:rsid w:val="7DFE91FD"/>
    <w:rsid w:val="7EFFD2F7"/>
    <w:rsid w:val="7F7B06B3"/>
    <w:rsid w:val="7F7D2E5D"/>
    <w:rsid w:val="7FDF2DAF"/>
    <w:rsid w:val="87BC9494"/>
    <w:rsid w:val="966D1888"/>
    <w:rsid w:val="ABB7C1D9"/>
    <w:rsid w:val="AFBF7582"/>
    <w:rsid w:val="AFDF7FFC"/>
    <w:rsid w:val="BED6E9D5"/>
    <w:rsid w:val="BFFDB061"/>
    <w:rsid w:val="D67BC1FD"/>
    <w:rsid w:val="D77F8CB5"/>
    <w:rsid w:val="DD7B8B89"/>
    <w:rsid w:val="DF777954"/>
    <w:rsid w:val="DFEF13A1"/>
    <w:rsid w:val="EDFD16E8"/>
    <w:rsid w:val="EF7BB475"/>
    <w:rsid w:val="EFFCF4B4"/>
    <w:rsid w:val="EFFD3DE6"/>
    <w:rsid w:val="EFFF0E58"/>
    <w:rsid w:val="F6F5D7CF"/>
    <w:rsid w:val="F6F635D0"/>
    <w:rsid w:val="F7DE6628"/>
    <w:rsid w:val="F7FF79A3"/>
    <w:rsid w:val="FA3B1EED"/>
    <w:rsid w:val="FBD76BCA"/>
    <w:rsid w:val="FD674356"/>
    <w:rsid w:val="FD7E3494"/>
    <w:rsid w:val="FDB7888D"/>
    <w:rsid w:val="FDFF111D"/>
    <w:rsid w:val="FDFF209B"/>
    <w:rsid w:val="FE6CF2B7"/>
    <w:rsid w:val="FE7F8324"/>
    <w:rsid w:val="FEA725AA"/>
    <w:rsid w:val="FFA7D5F4"/>
    <w:rsid w:val="FFBD5131"/>
    <w:rsid w:val="FFFFBB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5"/>
    <w:uiPriority w:val="0"/>
    <w:rPr>
      <w:rFonts w:ascii="宋体"/>
      <w:sz w:val="18"/>
      <w:szCs w:val="18"/>
    </w:rPr>
  </w:style>
  <w:style w:type="paragraph" w:styleId="4">
    <w:name w:val="footer"/>
    <w:basedOn w:val="1"/>
    <w:link w:val="1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uiPriority w:val="0"/>
    <w:rPr>
      <w:b/>
      <w:bCs/>
    </w:rPr>
  </w:style>
  <w:style w:type="character" w:styleId="9">
    <w:name w:val="FollowedHyperlink"/>
    <w:qFormat/>
    <w:uiPriority w:val="0"/>
    <w:rPr>
      <w:color w:val="954F72"/>
      <w:u w:val="single"/>
    </w:rPr>
  </w:style>
  <w:style w:type="character" w:styleId="10">
    <w:name w:val="Hyperlink"/>
    <w:uiPriority w:val="99"/>
    <w:rPr>
      <w:rFonts w:cs="Times New Roman"/>
      <w:color w:val="333333"/>
      <w:u w:val="none"/>
    </w:rPr>
  </w:style>
  <w:style w:type="character" w:styleId="11">
    <w:name w:val="annotation reference"/>
    <w:qFormat/>
    <w:uiPriority w:val="0"/>
    <w:rPr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_Style 12"/>
    <w:unhideWhenUsed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14">
    <w:name w:val="批注文字 字符"/>
    <w:link w:val="2"/>
    <w:uiPriority w:val="0"/>
    <w:rPr>
      <w:kern w:val="2"/>
      <w:sz w:val="21"/>
      <w:szCs w:val="22"/>
    </w:rPr>
  </w:style>
  <w:style w:type="character" w:customStyle="1" w:styleId="15">
    <w:name w:val="批注框文本 字符"/>
    <w:link w:val="3"/>
    <w:qFormat/>
    <w:uiPriority w:val="0"/>
    <w:rPr>
      <w:rFonts w:ascii="宋体"/>
      <w:kern w:val="2"/>
      <w:sz w:val="18"/>
      <w:szCs w:val="18"/>
    </w:rPr>
  </w:style>
  <w:style w:type="character" w:customStyle="1" w:styleId="16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8">
    <w:name w:val="批注主题 字符"/>
    <w:link w:val="6"/>
    <w:qFormat/>
    <w:uiPriority w:val="0"/>
    <w:rPr>
      <w:b/>
      <w:bCs/>
      <w:kern w:val="2"/>
      <w:sz w:val="21"/>
      <w:szCs w:val="22"/>
    </w:rPr>
  </w:style>
  <w:style w:type="character" w:customStyle="1" w:styleId="19">
    <w:name w:val="wmijmwm0azlqmgdi1"/>
    <w:uiPriority w:val="99"/>
    <w:rPr>
      <w:rFonts w:cs="Times New Roman"/>
      <w:vanish/>
    </w:rPr>
  </w:style>
  <w:style w:type="character" w:customStyle="1" w:styleId="20">
    <w:name w:val="wmijmwm0azlqoadk1"/>
    <w:qFormat/>
    <w:uiPriority w:val="99"/>
    <w:rPr>
      <w:rFonts w:cs="Times New Roman"/>
      <w:vanish/>
    </w:rPr>
  </w:style>
  <w:style w:type="character" w:customStyle="1" w:styleId="21">
    <w:name w:val="wmijmwm0azlqnadh1"/>
    <w:qFormat/>
    <w:uiPriority w:val="99"/>
    <w:rPr>
      <w:rFonts w:cs="Times New Roman"/>
    </w:rPr>
  </w:style>
  <w:style w:type="character" w:customStyle="1" w:styleId="22">
    <w:name w:val="wmijmwm0azlqoadg1"/>
    <w:qFormat/>
    <w:uiPriority w:val="99"/>
    <w:rPr>
      <w:rFonts w:cs="Times New Roman"/>
      <w:vanish/>
    </w:rPr>
  </w:style>
  <w:style w:type="character" w:customStyle="1" w:styleId="23">
    <w:name w:val="wmijmwm0azlqoqdl1"/>
    <w:qFormat/>
    <w:uiPriority w:val="99"/>
    <w:rPr>
      <w:rFonts w:cs="Times New Roman"/>
    </w:rPr>
  </w:style>
  <w:style w:type="character" w:customStyle="1" w:styleId="24">
    <w:name w:val="wmijmwm0azlqoadi1"/>
    <w:uiPriority w:val="99"/>
    <w:rPr>
      <w:rFonts w:cs="Times New Roman"/>
      <w:vanish/>
    </w:rPr>
  </w:style>
  <w:style w:type="character" w:customStyle="1" w:styleId="25">
    <w:name w:val="wmijmwm0azzqmadu1"/>
    <w:uiPriority w:val="99"/>
    <w:rPr>
      <w:rFonts w:cs="Times New Roman"/>
      <w:vanish/>
    </w:rPr>
  </w:style>
  <w:style w:type="character" w:customStyle="1" w:styleId="26">
    <w:name w:val="wmijmwm0azlqnqdh1"/>
    <w:uiPriority w:val="99"/>
    <w:rPr>
      <w:rFonts w:cs="Times New Roman"/>
    </w:rPr>
  </w:style>
  <w:style w:type="character" w:customStyle="1" w:styleId="27">
    <w:name w:val="wmijmwm0azlqnqdv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1880</Characters>
  <Lines>15</Lines>
  <Paragraphs>4</Paragraphs>
  <TotalTime>0</TotalTime>
  <ScaleCrop>false</ScaleCrop>
  <LinksUpToDate>false</LinksUpToDate>
  <CharactersWithSpaces>2205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2021-08-08T08:53:00Z</dcterms:created>
  <dc:creator>admin</dc:creator>
  <cp:lastModifiedBy>zhang</cp:lastModifiedBy>
  <cp:lastPrinted>2018-07-04T01:36:00Z</cp:lastPrinted>
  <dcterms:modified xsi:type="dcterms:W3CDTF">2026-01-15T08:20:01Z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22AE6793CB88449C8B1F1FCA0D8B3588</vt:lpwstr>
  </property>
</Properties>
</file>