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肿瘤/血液综合病房</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招生简章</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一、科室简介</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2014年，成都上锦南府医院肿瘤科正式开科收治肿瘤患者。</w:t>
      </w:r>
      <w:r>
        <w:rPr>
          <w:rFonts w:hint="eastAsia" w:ascii="仿宋_GB2312" w:hAnsi="仿宋_GB2312" w:eastAsia="仿宋_GB2312" w:cs="仿宋_GB2312"/>
          <w:sz w:val="32"/>
          <w:szCs w:val="32"/>
          <w:lang w:eastAsia="zh-CN"/>
        </w:rPr>
        <w:t>2025年2月，医院独立成立了以淋巴瘤和罕见肿瘤为特色的肿瘤/血液综合病房。</w:t>
      </w:r>
      <w:r>
        <w:rPr>
          <w:rFonts w:hint="eastAsia" w:ascii="仿宋_GB2312" w:hAnsi="仿宋_GB2312" w:eastAsia="仿宋_GB2312" w:cs="仿宋_GB2312"/>
          <w:sz w:val="32"/>
          <w:szCs w:val="32"/>
        </w:rPr>
        <w:t>病房位于第二住院大楼3楼，</w:t>
      </w:r>
      <w:r>
        <w:rPr>
          <w:rFonts w:hint="eastAsia" w:ascii="仿宋_GB2312" w:hAnsi="仿宋_GB2312" w:eastAsia="仿宋_GB2312" w:cs="仿宋_GB2312"/>
          <w:sz w:val="32"/>
          <w:szCs w:val="32"/>
          <w:lang w:eastAsia="zh-CN"/>
        </w:rPr>
        <w:t>目前科室开放床位34张，病床使用率达100%以上，</w:t>
      </w:r>
      <w:r>
        <w:rPr>
          <w:rFonts w:hint="eastAsia" w:ascii="仿宋_GB2312" w:hAnsi="仿宋_GB2312" w:eastAsia="仿宋_GB2312" w:cs="仿宋_GB2312"/>
          <w:sz w:val="32"/>
          <w:szCs w:val="32"/>
        </w:rPr>
        <w:t>并设有淋巴瘤、肿瘤科、穿刺诊疗等专科门诊。科室现有医护人员26名，</w:t>
      </w:r>
      <w:r>
        <w:rPr>
          <w:rFonts w:hint="eastAsia" w:ascii="仿宋_GB2312" w:hAnsi="仿宋_GB2312" w:eastAsia="仿宋_GB2312" w:cs="仿宋_GB2312"/>
          <w:sz w:val="32"/>
          <w:szCs w:val="32"/>
          <w:lang w:eastAsia="zh-CN"/>
        </w:rPr>
        <w:t>其中高级职称3名，中级职称6名。</w:t>
      </w:r>
      <w:r>
        <w:rPr>
          <w:rFonts w:hint="eastAsia" w:ascii="仿宋_GB2312" w:hAnsi="仿宋_GB2312" w:eastAsia="仿宋_GB2312" w:cs="仿宋_GB2312"/>
          <w:sz w:val="32"/>
          <w:szCs w:val="32"/>
        </w:rPr>
        <w:t>是集医疗、教学、科研于一体的血液与罕见肿瘤综合诊治中心。自成立以来，科室秉承“精准诊疗、全心关爱”的理念，致力于为淋巴瘤及罕见实体肿瘤患者提供全方位、高水平的医疗服务。</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科室专业设置涵盖淋巴瘤、肉瘤、黑色素瘤、</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罕见肿瘤等恶性肿瘤，2024年获评全国“骨髓抑制规范化管理优秀中心”。年门诊量超过1万余人次，年出院病人达</w:t>
      </w:r>
      <w:r>
        <w:rPr>
          <w:rFonts w:hint="eastAsia" w:ascii="仿宋_GB2312" w:hAnsi="仿宋_GB2312" w:eastAsia="仿宋_GB2312" w:cs="仿宋_GB2312"/>
          <w:sz w:val="32"/>
          <w:szCs w:val="32"/>
          <w:lang w:eastAsia="zh-CN"/>
        </w:rPr>
        <w:t>3000</w:t>
      </w:r>
      <w:r>
        <w:rPr>
          <w:rFonts w:hint="eastAsia" w:ascii="仿宋_GB2312" w:hAnsi="仿宋_GB2312" w:eastAsia="仿宋_GB2312" w:cs="仿宋_GB2312"/>
          <w:sz w:val="32"/>
          <w:szCs w:val="32"/>
        </w:rPr>
        <w:t>余人次。</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室专注于肿瘤化疗、生物靶向治疗、免疫治疗、细胞治疗、骨髓抑制规范化管理、癌痛规范化管理等肿瘤内科领域。开展常规化疗、腔内灌注化疗、生物靶向治疗、免疫治疗、CAR-T细胞治疗、持续性高精度化疗、超大剂量化疗、规范化癌痛控制、骨髓抑制规范化管理和抗深静脉血栓治疗等综合性肿瘤内科治疗。充分依托四川大学华西医院肿瘤中心及生物治疗国家重点实验室，根据专业特长，</w:t>
      </w:r>
      <w:r>
        <w:rPr>
          <w:rFonts w:hint="eastAsia" w:ascii="仿宋_GB2312" w:hAnsi="仿宋_GB2312" w:eastAsia="仿宋_GB2312" w:cs="仿宋_GB2312"/>
          <w:sz w:val="32"/>
          <w:szCs w:val="32"/>
          <w:lang w:eastAsia="zh-CN"/>
        </w:rPr>
        <w:t>分为</w:t>
      </w:r>
      <w:r>
        <w:rPr>
          <w:rFonts w:hint="eastAsia" w:ascii="仿宋_GB2312" w:hAnsi="仿宋_GB2312" w:eastAsia="仿宋_GB2312" w:cs="仿宋_GB2312"/>
          <w:sz w:val="32"/>
          <w:szCs w:val="32"/>
        </w:rPr>
        <w:t>淋巴瘤、罕见肿瘤两个亚专业。</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二、亚专业介绍</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（一）淋巴瘤亚专业</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蒋明教授领衔的淋巴瘤亚专业作为科室的核心与特色优势专业，与四川大学华西医院紧密相连，专注于淋巴瘤的精准诊断、规范化分层治疗及全程化管理。我们搭建了以病理科、影像科、肿瘤科、血液内科、药学、康复科、临床营养科为支撑的多学科综合诊疗（MDT）平台，每周二定期开展淋巴瘤MDT诊疗，为个体化治疗筑牢坚实根基。</w:t>
      </w:r>
      <w:r>
        <w:rPr>
          <w:rFonts w:hint="eastAsia" w:ascii="仿宋_GB2312" w:hAnsi="仿宋_GB2312" w:eastAsia="仿宋_GB2312" w:cs="仿宋_GB2312"/>
          <w:sz w:val="32"/>
          <w:szCs w:val="32"/>
        </w:rPr>
        <w:t>诊疗范围覆盖所有淋巴瘤亚型，包括弥漫大B细胞淋巴瘤、霍奇金淋巴瘤、滤泡性淋巴瘤、套细胞淋巴瘤、NK/T细胞淋巴瘤、外周T细胞淋巴瘤等。治疗方案与国际最新指南同步，常规开展化疗、靶向治疗、免疫治疗（如PD-1抑制剂、CAR-T细胞治疗等），并与放疗科、血液科移植病房紧密协作，为需要放疗或造血干细胞移植的患者提供无缝衔接的治疗。</w:t>
      </w:r>
      <w:r>
        <w:rPr>
          <w:rFonts w:hint="eastAsia" w:ascii="仿宋_GB2312" w:hAnsi="仿宋_GB2312" w:eastAsia="仿宋_GB2312" w:cs="仿宋_GB2312"/>
          <w:sz w:val="32"/>
          <w:szCs w:val="32"/>
          <w:lang w:eastAsia="zh-CN"/>
        </w:rPr>
        <w:t>团队在危重、难治复发淋巴瘤的挽救治疗领域积累了丰富经验，同时，科室极为重视患者的长期随访与康复指导，设立了淋巴瘤专病门诊及康复支持小组，为患者提供全生命周期的健康管理服务。</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团队充分发挥医护一体化优势，开展患者全疾病周期的慢病管理，助力患者提升主动健康能力。同时积极开展线上线下患教活动与义诊，推动专家深入患者生活，使医疗资源惠及每一位患者。</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（二）罕见肿瘤亚专业</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大学华西医院肿瘤中心罕见肿瘤亚专业，由肿瘤内科副主任姜愚教授领衔，为西部地区规模最大的罕见肿瘤诊治专业。作为学科领军人物，姜愚教授带领团队跻身国际学术前沿之列。姜愚教授每月定期前往华西上锦医院查房，并亲自指导疑难病例诊治。华西上锦医院罕见肿瘤亚专业由邓窈窕副主任医师带组，作为四川大学华西医院姜愚教授团队成员，依托华西医院本部强大资源，联合头颈肿瘤科、整形外科、生物治疗科、病理科、放射科、眼科、皮肤科、超声科等科室，定期开展多学科诊疗（MDT）门诊，有机融合手术、放疗、化疗、分子靶向治疗、免疫治疗及心理干预，在罕见肿瘤临床诊治上积累了丰富经验。罕见肿瘤亚专业医疗组年收治罕见肿瘤初治患者超100例（含儿童实体瘤），门诊量突破3000人次，患者收治规模居全国前列</w:t>
      </w:r>
      <w:r>
        <w:rPr>
          <w:rFonts w:hint="eastAsia" w:ascii="仿宋_GB2312" w:hAnsi="仿宋_GB2312" w:eastAsia="仿宋_GB2312" w:cs="仿宋_GB2312"/>
          <w:sz w:val="32"/>
          <w:szCs w:val="32"/>
        </w:rPr>
        <w:t>，亚专业医疗组目前正在华西上锦医院开展晚期黑色素瘤的GCP研究、医疗新技术及多项研究者发起的研究项目，</w:t>
      </w:r>
      <w:r>
        <w:rPr>
          <w:rFonts w:hint="eastAsia" w:ascii="仿宋_GB2312" w:hAnsi="仿宋_GB2312" w:eastAsia="仿宋_GB2312" w:cs="仿宋_GB2312"/>
          <w:sz w:val="32"/>
          <w:szCs w:val="32"/>
          <w:lang w:eastAsia="zh-CN"/>
        </w:rPr>
        <w:t>团队发表了60余篇SCI论文，其中5篇被美国NCCN指南正面引用。团队的研究成果多次被国际顶级学术会议收录，并在美国ASCO年会上展示</w:t>
      </w:r>
      <w:r>
        <w:rPr>
          <w:rFonts w:hint="eastAsia" w:ascii="仿宋_GB2312" w:hAnsi="仿宋_GB2312" w:eastAsia="仿宋_GB2312" w:cs="仿宋_GB2312"/>
          <w:sz w:val="32"/>
          <w:szCs w:val="32"/>
        </w:rPr>
        <w:t>。近年来，团队在难治性恶性黑色素瘤和软组织肉瘤的治疗上取得了突破性进展。</w:t>
      </w:r>
      <w:r>
        <w:rPr>
          <w:rFonts w:hint="eastAsia" w:ascii="仿宋_GB2312" w:hAnsi="仿宋_GB2312" w:eastAsia="仿宋_GB2312" w:cs="仿宋_GB2312"/>
          <w:sz w:val="32"/>
          <w:szCs w:val="32"/>
          <w:lang w:eastAsia="zh-CN"/>
        </w:rPr>
        <w:t>通过尝试新型靶向药物、化疗与免疫治疗的组合方案，以及全身治疗和局部治疗的联合应用，团队积累了丰富的临床经验，为患者提供了更多治疗选择。</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进修简介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）进修方向涵盖淋巴瘤及罕见肿瘤。进修学员在报名时可根据自身需求选择一项或两项，每项的最短进修期限详见下表。填表时需明确注明进修内容及进修时间，录取后进修内容不可更改。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）进修报到时间为每年3月和9月，通常在报到前2个月完成录取工作。进修学员需持录取通知书按时报到，逾期3天未报到者视为自动放弃，我科将不予接收。</w:t>
      </w:r>
    </w:p>
    <w:tbl>
      <w:tblPr>
        <w:tblStyle w:val="8"/>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2709"/>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5"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进修专业</w:t>
            </w:r>
          </w:p>
        </w:tc>
        <w:tc>
          <w:tcPr>
            <w:tcW w:w="2709"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进修期限</w:t>
            </w:r>
          </w:p>
        </w:tc>
        <w:tc>
          <w:tcPr>
            <w:tcW w:w="3136"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每期招录人数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705"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淋巴瘤</w:t>
            </w:r>
          </w:p>
        </w:tc>
        <w:tc>
          <w:tcPr>
            <w:tcW w:w="2709"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3月、6月、12月</w:t>
            </w:r>
          </w:p>
        </w:tc>
        <w:tc>
          <w:tcPr>
            <w:tcW w:w="3136"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705"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罕见肿瘤</w:t>
            </w:r>
          </w:p>
        </w:tc>
        <w:tc>
          <w:tcPr>
            <w:tcW w:w="2709"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3月、6月、12月</w:t>
            </w:r>
          </w:p>
        </w:tc>
        <w:tc>
          <w:tcPr>
            <w:tcW w:w="3136" w:type="dxa"/>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1-2人</w:t>
            </w:r>
          </w:p>
        </w:tc>
      </w:tr>
    </w:tbl>
    <w:p>
      <w:pPr>
        <w:keepNext w:val="0"/>
        <w:keepLines w:val="0"/>
        <w:pageBreakBefore w:val="0"/>
        <w:widowControl/>
        <w:shd w:val="clear" w:color="auto" w:fill="FFFFFF"/>
        <w:kinsoku/>
        <w:wordWrap/>
        <w:overflowPunct/>
        <w:topLinePunct w:val="0"/>
        <w:autoSpaceDE/>
        <w:autoSpaceDN/>
        <w:bidi w:val="0"/>
        <w:adjustRightInd/>
        <w:snapToGrid/>
        <w:spacing w:after="0"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四、</w:t>
      </w:r>
      <w:r>
        <w:rPr>
          <w:rFonts w:hint="eastAsia" w:ascii="黑体" w:hAnsi="黑体" w:eastAsia="黑体" w:cs="黑体"/>
          <w:b w:val="0"/>
          <w:bCs w:val="0"/>
          <w:kern w:val="0"/>
          <w:sz w:val="32"/>
          <w:szCs w:val="32"/>
        </w:rPr>
        <w:t>培养方案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75"/>
        <w:gridCol w:w="1641"/>
        <w:gridCol w:w="908"/>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进修专业</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学习内容</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带教方法</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结业考核方式</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进修学习后应达到的水平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淋巴瘤</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淋巴瘤的诊治</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病房查房/专题讲座/疑难病案分析</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结业笔试</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掌握常见淋巴瘤亚型的诊断和治疗，具备初步处理疑难疾病能力。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
                <w:bCs w:val="0"/>
                <w:color w:val="333333"/>
                <w:kern w:val="0"/>
                <w:sz w:val="28"/>
                <w:szCs w:val="28"/>
              </w:rPr>
            </w:pPr>
            <w:r>
              <w:rPr>
                <w:rFonts w:hint="eastAsia" w:ascii="仿宋_GB2312" w:hAnsi="仿宋_GB2312" w:eastAsia="仿宋_GB2312" w:cs="仿宋_GB2312"/>
                <w:b/>
                <w:bCs w:val="0"/>
                <w:color w:val="333333"/>
                <w:kern w:val="0"/>
                <w:sz w:val="28"/>
                <w:szCs w:val="28"/>
              </w:rPr>
              <w:t>罕见肿瘤</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黑色素瘤、软组织肉瘤的诊治</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病房查房/专题讲座/疑难病案分析</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结业笔试</w:t>
            </w:r>
          </w:p>
        </w:tc>
        <w:tc>
          <w:tcPr>
            <w:tcW w:w="0" w:type="auto"/>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bCs/>
                <w:color w:val="333333"/>
                <w:kern w:val="0"/>
                <w:sz w:val="28"/>
                <w:szCs w:val="28"/>
              </w:rPr>
            </w:pPr>
            <w:r>
              <w:rPr>
                <w:rFonts w:hint="eastAsia" w:ascii="仿宋_GB2312" w:hAnsi="仿宋_GB2312" w:eastAsia="仿宋_GB2312" w:cs="仿宋_GB2312"/>
                <w:bCs/>
                <w:color w:val="333333"/>
                <w:kern w:val="0"/>
                <w:sz w:val="28"/>
                <w:szCs w:val="28"/>
              </w:rPr>
              <w:t>掌握黑色素瘤、软组织肉瘤常见亚型的诊断和治疗，具备初步处理疑难疾病能力。</w:t>
            </w:r>
          </w:p>
        </w:tc>
      </w:tr>
    </w:tbl>
    <w:p>
      <w:pPr>
        <w:keepNext w:val="0"/>
        <w:keepLines w:val="0"/>
        <w:pageBreakBefore w:val="0"/>
        <w:widowControl/>
        <w:shd w:val="clear" w:color="auto" w:fill="FFFFFF"/>
        <w:kinsoku/>
        <w:wordWrap/>
        <w:overflowPunct/>
        <w:topLinePunct w:val="0"/>
        <w:autoSpaceDE/>
        <w:autoSpaceDN/>
        <w:bidi w:val="0"/>
        <w:adjustRightInd/>
        <w:snapToGrid/>
        <w:spacing w:after="0"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五、</w:t>
      </w:r>
      <w:r>
        <w:rPr>
          <w:rFonts w:hint="eastAsia" w:ascii="黑体" w:hAnsi="黑体" w:eastAsia="黑体" w:cs="黑体"/>
          <w:b w:val="0"/>
          <w:bCs w:val="0"/>
          <w:kern w:val="0"/>
          <w:sz w:val="32"/>
          <w:szCs w:val="32"/>
        </w:rPr>
        <w:t>进修学员资质要求</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正规医学院校本科毕业，具备执业医师资格，</w:t>
      </w:r>
      <w:r>
        <w:rPr>
          <w:rFonts w:hint="eastAsia" w:ascii="仿宋_GB2312" w:hAnsi="仿宋_GB2312" w:eastAsia="仿宋_GB2312" w:cs="仿宋_GB2312"/>
          <w:sz w:val="32"/>
          <w:szCs w:val="32"/>
          <w:lang w:eastAsia="zh-CN"/>
        </w:rPr>
        <w:t>至少有1年及1年</w:t>
      </w:r>
      <w:r>
        <w:rPr>
          <w:rFonts w:hint="eastAsia" w:ascii="仿宋_GB2312" w:hAnsi="仿宋_GB2312" w:eastAsia="仿宋_GB2312" w:cs="仿宋_GB2312"/>
          <w:sz w:val="32"/>
          <w:szCs w:val="32"/>
        </w:rPr>
        <w:t>临床工作经验。身体和心理健康，能够胜任繁重的临床工作，具有团队合作精神，能熟练使用电脑进行办公。</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肿瘤/血液综合病房</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5120" w:firstLineChars="1600"/>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2026年1月15日</w:t>
      </w: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03"/>
    <w:rsid w:val="0003123F"/>
    <w:rsid w:val="00061125"/>
    <w:rsid w:val="00085934"/>
    <w:rsid w:val="000E1C04"/>
    <w:rsid w:val="001044D3"/>
    <w:rsid w:val="00105A2F"/>
    <w:rsid w:val="001227D5"/>
    <w:rsid w:val="001A420A"/>
    <w:rsid w:val="00213D03"/>
    <w:rsid w:val="00243453"/>
    <w:rsid w:val="002A2E43"/>
    <w:rsid w:val="002D0B67"/>
    <w:rsid w:val="002E5441"/>
    <w:rsid w:val="003451E1"/>
    <w:rsid w:val="0037041C"/>
    <w:rsid w:val="003824AE"/>
    <w:rsid w:val="003B5E63"/>
    <w:rsid w:val="003B5ED6"/>
    <w:rsid w:val="003B7861"/>
    <w:rsid w:val="003F1CAF"/>
    <w:rsid w:val="003F4105"/>
    <w:rsid w:val="004D7AC1"/>
    <w:rsid w:val="004F7D6E"/>
    <w:rsid w:val="00505546"/>
    <w:rsid w:val="00594FC9"/>
    <w:rsid w:val="005A2138"/>
    <w:rsid w:val="005B1AFD"/>
    <w:rsid w:val="005B7900"/>
    <w:rsid w:val="005C3545"/>
    <w:rsid w:val="005D2ACF"/>
    <w:rsid w:val="00610D8C"/>
    <w:rsid w:val="00644AA1"/>
    <w:rsid w:val="00662F90"/>
    <w:rsid w:val="006A1A38"/>
    <w:rsid w:val="006D5A78"/>
    <w:rsid w:val="006E72AF"/>
    <w:rsid w:val="00766A79"/>
    <w:rsid w:val="00767B09"/>
    <w:rsid w:val="00793508"/>
    <w:rsid w:val="007B5EF3"/>
    <w:rsid w:val="007C236D"/>
    <w:rsid w:val="0080202B"/>
    <w:rsid w:val="008358F8"/>
    <w:rsid w:val="00853085"/>
    <w:rsid w:val="009361E3"/>
    <w:rsid w:val="00970D36"/>
    <w:rsid w:val="009F06EE"/>
    <w:rsid w:val="00AE324E"/>
    <w:rsid w:val="00AF5E0B"/>
    <w:rsid w:val="00B406A0"/>
    <w:rsid w:val="00B42D6D"/>
    <w:rsid w:val="00B966DE"/>
    <w:rsid w:val="00BA0031"/>
    <w:rsid w:val="00BF57B0"/>
    <w:rsid w:val="00C25A1E"/>
    <w:rsid w:val="00C61917"/>
    <w:rsid w:val="00C7189B"/>
    <w:rsid w:val="00CB75A7"/>
    <w:rsid w:val="00CC248F"/>
    <w:rsid w:val="00CE0EAA"/>
    <w:rsid w:val="00CE5167"/>
    <w:rsid w:val="00DA430E"/>
    <w:rsid w:val="00DD6456"/>
    <w:rsid w:val="00E13325"/>
    <w:rsid w:val="00E54FB9"/>
    <w:rsid w:val="00E64871"/>
    <w:rsid w:val="00E81C93"/>
    <w:rsid w:val="00E8343A"/>
    <w:rsid w:val="00EC48BA"/>
    <w:rsid w:val="00F074B1"/>
    <w:rsid w:val="00F26441"/>
    <w:rsid w:val="00F633AF"/>
    <w:rsid w:val="00F76F29"/>
    <w:rsid w:val="14942131"/>
    <w:rsid w:val="14974B07"/>
    <w:rsid w:val="2D2E5A24"/>
    <w:rsid w:val="4636473A"/>
    <w:rsid w:val="4C8F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Date"/>
    <w:basedOn w:val="1"/>
    <w:next w:val="1"/>
    <w:link w:val="14"/>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uiPriority w:val="0"/>
    <w:rPr>
      <w:b/>
      <w:bCs/>
    </w:rPr>
  </w:style>
  <w:style w:type="table" w:styleId="9">
    <w:name w:val="Table Grid"/>
    <w:basedOn w:val="8"/>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0"/>
    <w:rPr>
      <w:sz w:val="21"/>
      <w:szCs w:val="21"/>
    </w:rPr>
  </w:style>
  <w:style w:type="character" w:customStyle="1" w:styleId="12">
    <w:name w:val="页眉 字符"/>
    <w:link w:val="6"/>
    <w:uiPriority w:val="0"/>
    <w:rPr>
      <w:kern w:val="2"/>
      <w:sz w:val="18"/>
      <w:szCs w:val="18"/>
    </w:rPr>
  </w:style>
  <w:style w:type="character" w:customStyle="1" w:styleId="13">
    <w:name w:val="页脚 字符"/>
    <w:link w:val="5"/>
    <w:uiPriority w:val="0"/>
    <w:rPr>
      <w:kern w:val="2"/>
      <w:sz w:val="18"/>
      <w:szCs w:val="18"/>
    </w:rPr>
  </w:style>
  <w:style w:type="character" w:customStyle="1" w:styleId="14">
    <w:name w:val="日期 字符"/>
    <w:link w:val="3"/>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2024</Words>
  <Characters>2080</Characters>
  <Lines>46</Lines>
  <Paragraphs>18</Paragraphs>
  <TotalTime>0</TotalTime>
  <ScaleCrop>false</ScaleCrop>
  <LinksUpToDate>false</LinksUpToDate>
  <CharactersWithSpaces>2081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2026-01-13T01:25:00Z</dcterms:created>
  <dc:creator>Dr. Tong</dc:creator>
  <cp:lastModifiedBy>zhang</cp:lastModifiedBy>
  <dcterms:modified xsi:type="dcterms:W3CDTF">2026-01-15T08:25:01Z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eyJoZGlkIjoiNmZhZjNlMmEzNzY5ZGY3NTRlNmZiY2VkMTQ2OGI4OTgiLCJ1c2VySWQiOiIxNzUzNDAyMTcyIn0=</vt:lpwstr>
  </property>
  <property fmtid="{D5CDD505-2E9C-101B-9397-08002B2CF9AE}" pid="4" name="ICV">
    <vt:lpwstr>75BBA4BBA28941348985EF41EFC13C42_12</vt:lpwstr>
  </property>
</Properties>
</file>